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27"/>
        <w:tblW w:w="0" w:type="auto"/>
        <w:tblInd w:w="-99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>
        <w:trPr>
          <w:trHeight w:val="1984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336699" w:sz="1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3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0425" cy="1150957"/>
                      <wp:effectExtent l="0" t="0" r="0" b="0"/>
                      <wp:docPr id="1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40424" cy="11509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67.8pt;height:90.6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5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36699" w:sz="1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rPr>
                <w:sz w:val="22"/>
              </w:rPr>
              <w:t xml:space="preserve">27.12.2024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336699" w:sz="12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0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</w:r>
            <w:r>
              <w:t xml:space="preserve">5458-б/а</w:t>
            </w: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22"/>
              </w:rPr>
              <w:t xml:space="preserve"> 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7" w:type="dxa"/>
            <w:vAlign w:val="top"/>
            <w:textDirection w:val="lrTb"/>
            <w:noWrap w:val="false"/>
          </w:tcPr>
          <w:p>
            <w:pPr>
              <w:ind w:left="-142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Алматы қаласы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cs="Arial" w:eastAsia="Arial"/>
                <w:color w:val="336699"/>
                <w:sz w:val="16"/>
              </w:rPr>
              <w:t xml:space="preserve">Город Алматы</w:t>
            </w:r>
            <w:r/>
          </w:p>
        </w:tc>
      </w:tr>
    </w:tbl>
    <w:p>
      <w:pPr>
        <w:ind w:left="0" w:right="0" w:firstLine="0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spacing w:before="0" w:after="0" w:line="283" w:lineRule="atLeast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spacing w:before="0" w:after="0" w:line="283" w:lineRule="atLeast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Студенттердің өндірістік практикасын </w:t>
      </w:r>
      <w:r/>
    </w:p>
    <w:p>
      <w:pPr>
        <w:ind w:left="0" w:right="0" w:firstLine="0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ұйымдастыру және өткізу туралы</w:t>
      </w:r>
      <w:r/>
    </w:p>
    <w:p>
      <w:pPr>
        <w:ind w:left="0" w:right="0" w:firstLine="0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2024-2025 оқу жылына арналған физика-техникалық факультетінің «6B05306-Физика және астрономия», «6В06201-Радиотехника, электроника және телекоммуникациялар», «6B07109-Өндірістік электроника және басқару жүйелері» білім беру бағдарламалары бойынша 4 курс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уденттерінің оқу жоспарына сәйкес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БҰЙЫРАМЫН: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after="0" w:line="283" w:lineRule="atLeast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Медициналық тексеруден және еңбекті қорғау мен қауіпсіздік техникасы бойынша нұсқаулықтан өткен физика-техникалық факультетінің «6B05306-Физика және астрономия», «6В06201-Радиотехника, электроника және телекоммуникациялар», «6B07109-Өндірістік электрони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ка және басқару жүйелері» білім беру бағдарламалары бойынша 4 курс студенттері 8 аптаға 20.01.2025 ж. – 15.03.2025 жж. аралығында өндірістік практикадан өтуге келесі құрамда жіберілсін:</w:t>
      </w:r>
      <w:r/>
    </w:p>
    <w:p>
      <w:pPr>
        <w:ind w:left="0" w:right="0" w:firstLine="0"/>
        <w:jc w:val="both"/>
        <w:spacing w:before="0" w:after="0" w:line="283" w:lineRule="atLeast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1) Қазақ бөлімі, «6B05306-Физика және астрономия» білім беру бағдарламасы, практика жетекшісі – Омар А.Ж.</w:t>
      </w:r>
      <w:r/>
    </w:p>
    <w:tbl>
      <w:tblPr>
        <w:tblStyle w:val="72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7"/>
        <w:gridCol w:w="4393"/>
        <w:gridCol w:w="438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Практикадан өту орны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Адилбаев Нурдаулет Акадилулы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Ажикенова Алина Сериковна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Әбдірахман Айдана Әрмияқызы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Әдеп Қарлығаш Ерланқызы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Әділ Махаббат Айтмұратқызы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Бақыт Арлан Қанатұлы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Бекмұрат Бағжан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Берік Алтын Берікқызы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Ислям Жомартқали Берікұлы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Кориктаев Ерасыл Мейржанович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Қадырбек Назерке Сағынқалиқызы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Қайназарова Аружан Суханбердіқызы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Мәнап Бақдана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Тузен Ғалия Бахитқызы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Турған Бекарыс Исаұлы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Ыскак Дастан Абайұлы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8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З.Жанабаев атындағы “Data Science in Astrophysics” ғылыми-зерттеу орталығы</w:t>
            </w:r>
            <w:r/>
          </w:p>
        </w:tc>
      </w:tr>
    </w:tbl>
    <w:p>
      <w:pPr>
        <w:ind w:left="0" w:right="0" w:firstLine="0"/>
        <w:jc w:val="both"/>
        <w:spacing w:before="0" w:after="0" w:line="283" w:lineRule="atLeast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2) Орыс бөлімі, «6B05306-Физика және астрономия» білім беру бағдарламасы, практика жетекшісі – Омар А.Ж.</w:t>
      </w:r>
      <w:r/>
    </w:p>
    <w:tbl>
      <w:tblPr>
        <w:tblStyle w:val="72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2"/>
        <w:gridCol w:w="4335"/>
        <w:gridCol w:w="445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Практикадан өту орны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Ақбар Нұркен Еркінұлы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В.Г. Фесенков атындағы астрофизика институты (АФИ)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Гючташ Алина Толга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В.Г. Фесенков атындағы астрофизика институты (АФИ)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Нурмахаметова Шахида Ташмахомедовна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В.Г. Фесенков атындағы астрофизика институты (АФИ)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Яхия Даниял Есенжолұлы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В.Г. Фесенков атындағы астрофизика институты (АФИ) ЖШС</w:t>
            </w:r>
            <w:r/>
          </w:p>
        </w:tc>
      </w:tr>
    </w:tbl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3) Қазақ бөлімі, «6B06201-Радиотехника, электроника және телекоммуни-кациялар» білім беру бағдарламасы, практика жетекшісі – Темешева С.А.</w:t>
      </w:r>
      <w:r/>
    </w:p>
    <w:tbl>
      <w:tblPr>
        <w:tblStyle w:val="72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08"/>
        <w:gridCol w:w="4189"/>
        <w:gridCol w:w="445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Практикадан өту орны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Амангелдіқызы Арайлым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Әбілқасым Мадияр Ержанұлы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Байжан Азиат Жетібайұлы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Баймахан Аружан Нұржанқызы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Егізбай Нұрсұлтан Нұрлыбайұлы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Зайтзаменова Гүлім Досжанқызы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Исақожа Мұхтар Нұрболұлы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Кадырхан Мерей Даниярұлы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Кинаят Жангир Талгатұлы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«Қазақтелеком» АҚ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Кулимбетов Қабланбек Өмірбекұлы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«Қазақтелеком» АҚ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Кұрманғазы Ақбота Маратқызы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Күнтас Жансұлу Сайранбекқызы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Қайрат Дамир Қайратұлы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14 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Құдайбергенова Гүлнұр Берікқызы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15 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Нурғали Малика Бауыржанқызы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Раймбеков Темірхан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Сазбай Әділет Мұхтарұлы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Сауранбай Нұртас Мұқатұлы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Сериков Ерасыл Серикович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Танирберген Аяжан Муратовна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Тоқтарғожа Мәди Айдынұлы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>
          <w:trHeight w:val="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Чарапиев Алихан Тынысбекович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«Қазақстан Республикасы Ішкі істер министрлігі Жетісу облысының полиция департаменті» ММ</w:t>
            </w:r>
            <w:r/>
          </w:p>
        </w:tc>
      </w:tr>
    </w:tbl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4) Орыс бөлімі, «6B06201-Радиотехника, электроника және телекоммуни-кациялар» білім беру бағдарламасы, практика жетекшісі – Темешева С.А.</w:t>
      </w:r>
      <w:r/>
    </w:p>
    <w:tbl>
      <w:tblPr>
        <w:tblStyle w:val="72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08"/>
        <w:gridCol w:w="4114"/>
        <w:gridCol w:w="452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29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Практикадан өту орны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Айрат Султан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Ерназарова Еркежан Алмасовна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«ASTEL» АҚ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Жаныбек Әлібек Дәуренұлы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«Эксперименттік және теориялық физика ғылыми-зерттеу институты» (ЭТФ ҒЗИ)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Зулпихарова Жасмин Санжарқызы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252525"/>
                <w:sz w:val="28"/>
                <w:highlight w:val="white"/>
              </w:rPr>
              <w:t xml:space="preserve">«Telecontact» ЖШС</w:t>
            </w:r>
            <w:r/>
          </w:p>
        </w:tc>
      </w:tr>
    </w:tbl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5) Қазақ бөлімі, «6B07109-Өндірістік электроника және басқару жүйелері» білім беру бағдарламасы, тәжірибе жетекшісі – Темешева С.А.</w:t>
      </w:r>
      <w:r/>
    </w:p>
    <w:tbl>
      <w:tblPr>
        <w:tblStyle w:val="72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08"/>
        <w:gridCol w:w="4077"/>
        <w:gridCol w:w="456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Практикадан өту орны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Алдатаев Диас Шергазыұлы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«Семизбай-U»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Алдонғар Өтемұрат Амангелдіұлы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«KazTransOil» АҚ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Ален Нұржігіт Аманқұлұлы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>
          <w:trHeight w:val="3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Амангелді Мақсат Мейржанұлы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Ауесхан Алмас Берикұлы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Әбдіраш Санжар Жарылқасынұлы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7 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Әбен Әсемай Еркінбекқызы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8 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Әмірғалиев Бекзат Жанболатұлы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«Дөң тау-кен байыту комбинаты» АҚ 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9 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Байтұрсын Дархан Ерланұлы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10 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Басиров Меирамбек Талғатұлы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Бауыржанұлы Дәурен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Болатбек Данияр Амантайұлы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Дүйсенұлы Дулат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 «KazTechInnovations»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Елмұратұлы Аян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Ерғалиев Айдын Самалханұлы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Ержанов Ерасыл Асхатұлы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tabs>
                <w:tab w:val="left" w:pos="1470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Еркінбек Ерасыл Бақытұлы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Жора Әліби Ержанұлы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Жұбанышқали Бекзат Бекжанұлы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Жұмағалиев Ерұлан Жасұланұлы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Каиров Есбол Шағатайұлы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Касенова Нурсулу Галимжановна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Қадір Роза Ильясқызы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Қалабай Досан Серікқалиұлы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«Маңғыстау өңірлік электртораптық компаниясы» АҚ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Қалықберген Әміре Қайнарұлы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Қуандықов Нұрдәулет Қайратбекұлы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Қуанышев Дәурен Асқарұлы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Мамбетов Эржигит Муротбекович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Мырзагали Мәулен Жолдасұлы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Нұрланұлы Рамазан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«ФАБРИКА НАТУРАЛЬНЫХ ПРОДУКТОВ»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Нұрлыбаева Салтанат Ерланқызы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«Атырау Жарық» АҚ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Оразбаев Нұрәли Қанатұлы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Сандыбай Рауан Сәкенұлы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Сейсембек Іңкәр Бауыржанқызы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Сермұхан Әділ Болатбекұлы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Серік Саят Сұлтанұлы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Сматай Ажар Саянқызы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Таңатар Бағдаулет Нұржанұлы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Тәліп Нұрғиса Әбубакірұлы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Тынысбек Асылбек Ақылбекұлы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Усманов Рауан Нурсеитулы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</w:tbl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6) Орыс бөлімі, «6B07109-Өндірістік электроника және басқару жүйелері» білім беру бағдарламасы, тәжірибе жетекшісі – Темешева С.А.</w:t>
      </w:r>
      <w:r/>
    </w:p>
    <w:tbl>
      <w:tblPr>
        <w:tblStyle w:val="72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181"/>
        <w:gridCol w:w="453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№ 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Студенттердің аты-жөні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Практикадан өту орны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Айтбаева Рената Радиковна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Босаков Ильхам Изимжанович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3 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Ершов Эван Петрович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highlight w:val="white"/>
              </w:rPr>
              <w:t xml:space="preserve">Ашық түрдегі ұлттық нанотехнологиялық зертхана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»  АТҰНЗ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Журисов Тельман Булатович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«DN System» ЖШС</w:t>
            </w:r>
            <w:r/>
          </w:p>
        </w:tc>
      </w:tr>
      <w:tr>
        <w:trPr>
          <w:trHeight w:val="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Каиржан Акежан Бауржанулы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«NA’VI-AVA» ЖШС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8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Кенжалиев Алиби Ерболович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  <w:t xml:space="preserve">«NA’VI-AVA» ЖШС</w:t>
            </w:r>
            <w:r/>
          </w:p>
        </w:tc>
      </w:tr>
    </w:tbl>
    <w:p>
      <w:pPr>
        <w:ind w:left="0" w:right="0" w:firstLine="709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Өндірістік практиканың жетекшілігіне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электроника және астрофизика кафедрасынан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«6B05306-Физика және астрономия»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білім беру бағдарламасының  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қазақ және орыс бөлімдеріне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аға оқытушы Омар Аружан Жеңісханқызы, «6В06201-Радиотехника, электроника және телекоммуника-циялар», «6B07109-Өндірістік электроника және басқару жүйелері»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білім беру бағдарлама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ларының қазақ және орыс бөлімдеріне оқытушы Темешева Сымбат Айдынқызы тағайындалсын және оларға практика бағдарламасының орындалу жауапкершілігі жүктелсін.</w:t>
      </w:r>
      <w:r/>
    </w:p>
    <w:p>
      <w:pPr>
        <w:ind w:left="0" w:right="0" w:firstLine="709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Қауіпсіздік техникасы (ҚТ) мен еңбекті қорғау (ЕҚ) ережелерінің сақталуына және ҚазҰУ-дың нормативтік актілеріне сәйкес ҚТ мен ЕҚ бойынша нұсқаулықтың уақытылы өткізілуіне жауапкершілік электроника және астрофизика кафедрасының аға оқытушысы Омар Аружан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Жеңісханқызына және оқытушы Темешева Сымбат Айдынқызына жүктелсін.</w:t>
      </w:r>
      <w:r/>
    </w:p>
    <w:p>
      <w:pPr>
        <w:ind w:left="0" w:right="0" w:firstLine="709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Өндірістік практикаға жіберілген студенттер практика базасын ұсыну жөніндегі келісім-шарттары бар мекеменің және әл-Фараби атындағы ҚазҰУ-дың ҚТ мен ЕҚ нормативтік құжаттарын басшылыққа алсын.</w:t>
      </w:r>
      <w:r/>
    </w:p>
    <w:p>
      <w:pPr>
        <w:ind w:left="0" w:right="0" w:firstLine="708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 Өндірістік практиканың ұйымдастырылуы мен өткізілуі кафедра меңгерушісінің м.а. Сагидолда Еруланға жүктелсін.</w:t>
      </w:r>
      <w:r/>
    </w:p>
    <w:p>
      <w:pPr>
        <w:ind w:left="0" w:right="0" w:firstLine="708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709"/>
        <w:jc w:val="both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highlight w:val="white"/>
        </w:rPr>
        <w:t xml:space="preserve">Академиялық мәселелер бойынша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  <w:highlight w:val="white"/>
        </w:rPr>
        <w:t xml:space="preserve">Басқарма мүшесі-Проректор</w:t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2"/>
          <w:sz w:val="28"/>
        </w:rPr>
        <w:t xml:space="preserve">    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А.Г. Казмагамбетов</w:t>
      </w:r>
      <w:r/>
    </w:p>
    <w:p>
      <w:pPr>
        <w:spacing w:before="0" w:beforeAutospacing="0" w:after="0" w:afterAutospacing="0" w:line="283" w:lineRule="atLeas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before="0" w:beforeAutospacing="0" w:after="0" w:afterAutospacing="0" w:line="283" w:lineRule="atLeast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tbl>
      <w:tblPr>
        <w:tblStyle w:val="727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 w:val="0"/>
                <w:sz w:val="24"/>
              </w:rPr>
              <w:t xml:space="preserve">Подписант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t xml:space="preserve">Издатель ЭЦП - ҰЛТТЫҚ КУӘЛАНДЫРУШЫ ОРТАЛЫҚ (GOST) 2022, КАЗМАГАМБЕТОВ АЛТАЙ, Некоммерческое акционерное общество "Казахский национальный университет имени Аль-Фараби", BIN990140001154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51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Уникальный код: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09ED6E90FA834AB9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44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i/>
                <w:sz w:val="20"/>
                <w:highlight w:val="none"/>
              </w:rPr>
              <w:t xml:space="preserve">Короткая ссылка: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5964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https://short.kaznu.kz/rf60ZR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86"/>
        </w:trPr>
        <w:tc>
          <w:tcPr>
            <w:tcW w:w="2965" w:type="dxa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5800" cy="685800"/>
                      <wp:effectExtent l="0" t="0" r="0" b="0"/>
                      <wp:docPr id="2" name="Picture 5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4.0pt;height:54.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tcW w:w="5964" w:type="dxa"/>
            <w:textDirection w:val="lrTb"/>
            <w:noWrap w:val="false"/>
          </w:tcPr>
          <w:p>
            <w:pPr>
              <w:spacing w:before="0" w:beforeAutospacing="0" w:after="0" w:afterAutospacing="0" w:line="283" w:lineRule="atLeast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Электрондық құжатты тексеру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қстан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jc w:val="center"/>
        <w:spacing w:before="0" w:beforeAutospacing="0" w:after="0" w:afterAutospacing="0" w:line="283" w:lineRule="atLeast"/>
      </w:pPr>
      <w:r/>
      <w:r/>
    </w:p>
    <w:p>
      <w:pPr>
        <w:jc w:val="center"/>
        <w:spacing w:before="0" w:beforeAutospacing="0" w:after="0" w:afterAutospacing="0" w:line="283" w:lineRule="atLeas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i/>
          <w:sz w:val="24"/>
        </w:rPr>
      </w:r>
      <w:r>
        <w:rPr>
          <w:rFonts w:ascii="Times New Roman" w:hAnsi="Times New Roman" w:cs="Times New Roman" w:eastAsia="Times New Roman"/>
          <w:b/>
          <w:i/>
        </w:rPr>
        <w:t xml:space="preserve">Лист согласования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before="0" w:beforeAutospacing="0" w:after="0" w:afterAutospacing="0" w:line="283" w:lineRule="atLeast"/>
      </w:pPr>
      <w:r/>
      <w:r/>
    </w:p>
    <w:p>
      <w:pPr>
        <w:jc w:val="center"/>
        <w:spacing w:before="0" w:beforeAutospacing="0" w:after="0" w:afterAutospacing="0" w:line="283" w:lineRule="atLeas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i/>
          <w:sz w:val="24"/>
        </w:rPr>
      </w:r>
      <w:r>
        <w:rPr>
          <w:rFonts w:ascii="Times New Roman" w:hAnsi="Times New Roman" w:cs="Times New Roman" w:eastAsia="Times New Roman"/>
        </w:rPr>
      </w:r>
      <w:r/>
    </w:p>
    <w:tbl>
      <w:tblPr>
        <w:tblStyle w:val="876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rPr>
                <w:b/>
              </w:rPr>
              <w:t xml:space="preserve">ФИО, подразделение,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rPr>
                <w:b/>
              </w:rPr>
              <w:t xml:space="preserve">Тип 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rPr>
                <w:b/>
              </w:rPr>
              <w:t xml:space="preserve">Время и дата согласования или подписания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rPr>
                <w:b/>
              </w:rPr>
              <w:t xml:space="preserve">Данные по ЭЦП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Бейсен Н.Ә. - Декан - Физико-технический  факультет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25.12.2024 13:11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БЕЙСЕН Н.Ә.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Аязбаева А.М. - Руководитель - Офис профессионального развития и карьеры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10:28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АЯЗБАЕВА А.М.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Асылбеков Е.А. - Заместитель директора - Департамент по академическим вопросам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11:22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АСЫЛБЕКОВ Е.А.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Рахимбекова Б.К. - Директор - Департамент по академическим вопросам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11:49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РАХИМБЕКОВА Б.К.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Сыдыков Н.С. - Заместитель директора - Юридический департамент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16:41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СЫДЫКОВ Н.С.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Танабаева А.Н. - Вед. бухгалтер в/о - Планово-экономический отдел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16:43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ТАНАБАЕВА А.Н.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Макашова А.Ж. - Директор департамента экономики и финансов - Департамент экономики и финансов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16:46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МАКАШОВА А.Ж.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Казмагамбетов А.Г. - Член правления-Проректор по академическим вопросам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Подписано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27.12.2024 16:51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r>
              <w:t xml:space="preserve">ҰЛТТЫҚ КУӘЛАНДЫРУШЫ ОРТАЛЫҚ (GOST) 2022, КАЗМАГАМБЕТОВ АЛТАЙ, Некоммерческое акционерное общество "Казахский национальный университет имени Аль-Фараби"</w:t>
            </w:r>
            <w:r/>
          </w:p>
        </w:tc>
      </w:tr>
    </w:tbl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695">
    <w:name w:val="Heading 1"/>
    <w:basedOn w:val="870"/>
    <w:next w:val="870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cs="Arial" w:eastAsia="Arial"/>
      <w:sz w:val="40"/>
      <w:szCs w:val="40"/>
    </w:rPr>
  </w:style>
  <w:style w:type="paragraph" w:styleId="697">
    <w:name w:val="Heading 2"/>
    <w:basedOn w:val="870"/>
    <w:next w:val="870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98">
    <w:name w:val="Heading 2 Char"/>
    <w:link w:val="697"/>
    <w:uiPriority w:val="9"/>
    <w:rPr>
      <w:rFonts w:ascii="Arial" w:hAnsi="Arial" w:cs="Arial" w:eastAsia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cs="Arial" w:eastAsia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cs="Arial" w:eastAsia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cs="Arial" w:eastAsia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cs="Arial" w:eastAsia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cs="Arial" w:eastAsia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0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33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34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35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36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37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38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39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40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41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42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43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44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45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46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0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0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 w:default="1">
    <w:name w:val="Normal"/>
    <w:qFormat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No Spacing"/>
    <w:basedOn w:val="870"/>
    <w:uiPriority w:val="1"/>
    <w:qFormat/>
    <w:pPr>
      <w:spacing w:after="0" w:line="240" w:lineRule="auto"/>
    </w:pPr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 w:default="1">
    <w:name w:val="Default Paragraph Font"/>
    <w:uiPriority w:val="1"/>
    <w:semiHidden/>
    <w:unhideWhenUsed/>
  </w:style>
  <w:style w:type="table" w:styleId="876" w:customStyle="1">
    <w:name w:val="SalemTable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Сагидолда Ерулан</cp:lastModifiedBy>
  <cp:revision>9</cp:revision>
  <dcterms:modified xsi:type="dcterms:W3CDTF">2025-01-28T06:00:55Z</dcterms:modified>
</cp:coreProperties>
</file>